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A0F" w:rsidRDefault="00505A0F" w:rsidP="009D5FD8"/>
    <w:p w:rsidR="009D5FD8" w:rsidRDefault="009D5FD8" w:rsidP="009D5FD8">
      <w:pPr>
        <w:jc w:val="center"/>
        <w:rPr>
          <w:b/>
          <w:bCs/>
        </w:rPr>
      </w:pPr>
      <w:r>
        <w:rPr>
          <w:b/>
          <w:bCs/>
        </w:rPr>
        <w:t xml:space="preserve">Seaton Financial Advisors, LLC </w:t>
      </w:r>
    </w:p>
    <w:p w:rsidR="009D5FD8" w:rsidRDefault="009D5FD8" w:rsidP="009D5FD8">
      <w:pPr>
        <w:jc w:val="center"/>
        <w:rPr>
          <w:b/>
          <w:bCs/>
        </w:rPr>
      </w:pPr>
      <w:r>
        <w:rPr>
          <w:b/>
          <w:bCs/>
        </w:rPr>
        <w:t>E-Newsletter</w:t>
      </w:r>
    </w:p>
    <w:p w:rsidR="009D5FD8" w:rsidRDefault="009D5FD8" w:rsidP="009D5FD8">
      <w:pPr>
        <w:jc w:val="center"/>
        <w:rPr>
          <w:b/>
          <w:bCs/>
        </w:rPr>
      </w:pPr>
      <w:r>
        <w:rPr>
          <w:b/>
          <w:bCs/>
        </w:rPr>
        <w:t>December 2018</w:t>
      </w:r>
    </w:p>
    <w:p w:rsidR="009D5FD8" w:rsidRDefault="009D5FD8" w:rsidP="009D5FD8">
      <w:pPr>
        <w:rPr>
          <w:b/>
          <w:bCs/>
        </w:rPr>
      </w:pPr>
    </w:p>
    <w:p w:rsidR="009D5FD8" w:rsidRDefault="009D5FD8" w:rsidP="009D5FD8">
      <w:pPr>
        <w:rPr>
          <w:b/>
          <w:bCs/>
        </w:rPr>
      </w:pPr>
    </w:p>
    <w:p w:rsidR="009D5FD8" w:rsidRDefault="009D5FD8" w:rsidP="009D5FD8">
      <w:pPr>
        <w:ind w:left="720"/>
        <w:rPr>
          <w:b/>
          <w:bCs/>
          <w:u w:val="single"/>
        </w:rPr>
      </w:pPr>
      <w:r>
        <w:rPr>
          <w:b/>
          <w:bCs/>
          <w:u w:val="single"/>
        </w:rPr>
        <w:t>U.S. Stocks </w:t>
      </w:r>
    </w:p>
    <w:p w:rsidR="009D5FD8" w:rsidRDefault="009D5FD8" w:rsidP="009D5FD8">
      <w:pPr>
        <w:ind w:left="720"/>
      </w:pPr>
      <w:r>
        <w:t>The fourth quarter was a disaster for US stocks as investors began to worry that stock prices had gotten too far ahead of the forecast for economic growth and corporate profits.  By holding short term interest rates to zero for the better part of 10 years, the Fed has fueled a debt explosion that threatens to dampen economic growth for the foreseeable future.  Zero interest rates have benefitted stock prices by incentivizing corporations to buy backs millions of shares and “forcing” retail investors to buy stocks because alternative investments (bonds, CDs, money markets, etc) offered almost no return.  With interests rates now at the lower end of a reasonable range, investors are beginning to choose alternatives to stocks and corporations are scaling down stock “buy-backs”.  So, lower demand from corporations and individual investors is having a depressing effect on stock prices. Certainly there are many other factors that affect stock prices (global growth, trade policies, political turmoil in Europe, etc.) but right now, debt levels and Fed interest rate policies are two of the largest drivers.  </w:t>
      </w:r>
    </w:p>
    <w:p w:rsidR="009D5FD8" w:rsidRDefault="009D5FD8" w:rsidP="009D5FD8">
      <w:pPr>
        <w:ind w:left="720"/>
      </w:pPr>
    </w:p>
    <w:p w:rsidR="009D5FD8" w:rsidRDefault="009D5FD8" w:rsidP="009D5FD8">
      <w:pPr>
        <w:ind w:left="720"/>
      </w:pPr>
    </w:p>
    <w:p w:rsidR="009D5FD8" w:rsidRDefault="009D5FD8" w:rsidP="009D5FD8">
      <w:pPr>
        <w:ind w:left="720"/>
      </w:pPr>
      <w:r>
        <w:t xml:space="preserve"> For the fourth quarter, the SP500 declined about 13.5% with mid and small cap stocks doing even worse (15% and 18% respectively).  This left investors </w:t>
      </w:r>
      <w:proofErr w:type="gramStart"/>
      <w:r>
        <w:t>with  negative</w:t>
      </w:r>
      <w:proofErr w:type="gramEnd"/>
      <w:r>
        <w:t xml:space="preserve"> total returns for the year as shown below.    </w:t>
      </w:r>
    </w:p>
    <w:p w:rsidR="009D5FD8" w:rsidRDefault="009D5FD8" w:rsidP="009D5FD8">
      <w:pPr>
        <w:ind w:left="720"/>
      </w:pPr>
    </w:p>
    <w:p w:rsidR="009D5FD8" w:rsidRDefault="009D5FD8" w:rsidP="009D5FD8">
      <w:pPr>
        <w:ind w:left="720"/>
      </w:pPr>
      <w:r>
        <w:t xml:space="preserve"> Following are </w:t>
      </w:r>
      <w:proofErr w:type="gramStart"/>
      <w:r>
        <w:t>recent  “</w:t>
      </w:r>
      <w:proofErr w:type="gramEnd"/>
      <w:r>
        <w:t>total returns” (dividends plus price change) for the three major categories of US stocks:</w:t>
      </w:r>
    </w:p>
    <w:p w:rsidR="009D5FD8" w:rsidRDefault="009D5FD8" w:rsidP="009D5FD8">
      <w:pPr>
        <w:ind w:left="720"/>
      </w:pPr>
    </w:p>
    <w:tbl>
      <w:tblPr>
        <w:tblW w:w="9871" w:type="dxa"/>
        <w:tblInd w:w="1332" w:type="dxa"/>
        <w:tblCellMar>
          <w:left w:w="0" w:type="dxa"/>
          <w:right w:w="0" w:type="dxa"/>
        </w:tblCellMar>
        <w:tblLook w:val="04A0"/>
      </w:tblPr>
      <w:tblGrid>
        <w:gridCol w:w="2480"/>
        <w:gridCol w:w="2580"/>
        <w:gridCol w:w="771"/>
        <w:gridCol w:w="960"/>
        <w:gridCol w:w="1160"/>
        <w:gridCol w:w="960"/>
        <w:gridCol w:w="960"/>
      </w:tblGrid>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Category</w:t>
            </w:r>
          </w:p>
        </w:tc>
        <w:tc>
          <w:tcPr>
            <w:tcW w:w="258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Type</w:t>
            </w:r>
          </w:p>
        </w:tc>
        <w:tc>
          <w:tcPr>
            <w:tcW w:w="771"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Ticker</w:t>
            </w:r>
          </w:p>
        </w:tc>
        <w:tc>
          <w:tcPr>
            <w:tcW w:w="9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Oct.</w:t>
            </w:r>
          </w:p>
        </w:tc>
        <w:tc>
          <w:tcPr>
            <w:tcW w:w="11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Nov.</w:t>
            </w:r>
          </w:p>
        </w:tc>
        <w:tc>
          <w:tcPr>
            <w:tcW w:w="9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Dec</w:t>
            </w:r>
          </w:p>
        </w:tc>
        <w:tc>
          <w:tcPr>
            <w:tcW w:w="9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YTD</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US Stock</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Large Cap (SP500)</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IVV</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-6.82%</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1.92%</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-8.86%</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-4.46%</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US Stock</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Mid Cap</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VO</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-8.36%</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2.34%</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-9.79%</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-9.22%</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US Stock</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Small Cap</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VB</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-10.12%</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2.19%</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-11.10%</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-9.33%</w:t>
            </w:r>
          </w:p>
        </w:tc>
      </w:tr>
    </w:tbl>
    <w:p w:rsidR="009D5FD8" w:rsidRDefault="009D5FD8" w:rsidP="009D5FD8">
      <w:pPr>
        <w:ind w:left="720"/>
        <w:rPr>
          <w:b/>
          <w:bCs/>
          <w:u w:val="single"/>
        </w:rPr>
      </w:pPr>
      <w:r>
        <w:rPr>
          <w:b/>
          <w:bCs/>
          <w:u w:val="single"/>
        </w:rPr>
        <w:t> </w:t>
      </w:r>
    </w:p>
    <w:p w:rsidR="009D5FD8" w:rsidRDefault="009D5FD8" w:rsidP="009D5FD8">
      <w:pPr>
        <w:ind w:left="720"/>
      </w:pPr>
    </w:p>
    <w:p w:rsidR="009D5FD8" w:rsidRDefault="009D5FD8" w:rsidP="009D5FD8">
      <w:pPr>
        <w:ind w:left="720"/>
      </w:pPr>
      <w:r>
        <w:t>The following chart shows the monthly and YTD ROR for the SP500:</w:t>
      </w:r>
    </w:p>
    <w:p w:rsidR="009D5FD8" w:rsidRDefault="009D5FD8" w:rsidP="009D5FD8">
      <w:pPr>
        <w:ind w:left="720"/>
        <w:rPr>
          <w:b/>
          <w:bCs/>
          <w:u w:val="single"/>
        </w:rPr>
      </w:pPr>
    </w:p>
    <w:p w:rsidR="009D5FD8" w:rsidRDefault="009D5FD8" w:rsidP="009D5FD8">
      <w:pPr>
        <w:ind w:left="720"/>
        <w:rPr>
          <w:b/>
          <w:bCs/>
        </w:rPr>
      </w:pPr>
      <w:r>
        <w:rPr>
          <w:b/>
          <w:bCs/>
          <w:noProof/>
        </w:rPr>
        <w:lastRenderedPageBreak/>
        <w:drawing>
          <wp:inline distT="0" distB="0" distL="0" distR="0">
            <wp:extent cx="4596130" cy="2751455"/>
            <wp:effectExtent l="19050" t="0" r="0" b="0"/>
            <wp:docPr id="1" name="Chart 2" descr="cid:image003.png@01D4A437.B520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3.png@01D4A437.B5203390"/>
                    <pic:cNvPicPr>
                      <a:picLocks noChangeAspect="1" noChangeArrowheads="1"/>
                    </pic:cNvPicPr>
                  </pic:nvPicPr>
                  <pic:blipFill>
                    <a:blip r:embed="rId4" r:link="rId5" cstate="print"/>
                    <a:srcRect/>
                    <a:stretch>
                      <a:fillRect/>
                    </a:stretch>
                  </pic:blipFill>
                  <pic:spPr bwMode="auto">
                    <a:xfrm>
                      <a:off x="0" y="0"/>
                      <a:ext cx="4596130" cy="2751455"/>
                    </a:xfrm>
                    <a:prstGeom prst="rect">
                      <a:avLst/>
                    </a:prstGeom>
                    <a:noFill/>
                    <a:ln w="9525">
                      <a:noFill/>
                      <a:miter lim="800000"/>
                      <a:headEnd/>
                      <a:tailEnd/>
                    </a:ln>
                  </pic:spPr>
                </pic:pic>
              </a:graphicData>
            </a:graphic>
          </wp:inline>
        </w:drawing>
      </w:r>
    </w:p>
    <w:p w:rsidR="009D5FD8" w:rsidRDefault="009D5FD8" w:rsidP="009D5FD8">
      <w:pPr>
        <w:ind w:left="720"/>
        <w:rPr>
          <w:b/>
          <w:bCs/>
          <w:u w:val="single"/>
        </w:rPr>
      </w:pPr>
    </w:p>
    <w:p w:rsidR="009D5FD8" w:rsidRDefault="009D5FD8" w:rsidP="009D5FD8">
      <w:pPr>
        <w:ind w:left="720"/>
        <w:rPr>
          <w:b/>
          <w:bCs/>
          <w:u w:val="single"/>
        </w:rPr>
      </w:pPr>
    </w:p>
    <w:p w:rsidR="009D5FD8" w:rsidRDefault="009D5FD8" w:rsidP="009D5FD8">
      <w:pPr>
        <w:ind w:left="720"/>
        <w:rPr>
          <w:b/>
          <w:bCs/>
          <w:u w:val="single"/>
        </w:rPr>
      </w:pPr>
    </w:p>
    <w:p w:rsidR="009D5FD8" w:rsidRDefault="009D5FD8" w:rsidP="009D5FD8">
      <w:pPr>
        <w:ind w:left="720"/>
        <w:rPr>
          <w:b/>
          <w:bCs/>
          <w:u w:val="single"/>
        </w:rPr>
      </w:pPr>
      <w:r>
        <w:rPr>
          <w:b/>
          <w:bCs/>
          <w:u w:val="single"/>
        </w:rPr>
        <w:t>Sector Review</w:t>
      </w:r>
    </w:p>
    <w:p w:rsidR="009D5FD8" w:rsidRDefault="009D5FD8" w:rsidP="009D5FD8">
      <w:pPr>
        <w:ind w:left="720"/>
      </w:pPr>
      <w:r>
        <w:t>Only three of the ten sectors had positive RORs for the year led by Healthcare at 10.7%.  Beginning this summer we saw a shift from the more aggressive sectors such as technology to the more defensive sectors such as healthcare and utilities.  This was a pre-cursor to the broad-</w:t>
      </w:r>
      <w:proofErr w:type="gramStart"/>
      <w:r>
        <w:t>based  stock</w:t>
      </w:r>
      <w:proofErr w:type="gramEnd"/>
      <w:r>
        <w:t xml:space="preserve"> price declines in Q4.  Energy was the worst performer due to the combination of slowing global demand and an ever-increasing supply.   </w:t>
      </w:r>
    </w:p>
    <w:p w:rsidR="009D5FD8" w:rsidRDefault="009D5FD8" w:rsidP="009D5FD8">
      <w:pPr>
        <w:ind w:left="2160"/>
      </w:pPr>
    </w:p>
    <w:tbl>
      <w:tblPr>
        <w:tblW w:w="7291" w:type="dxa"/>
        <w:tblInd w:w="1332" w:type="dxa"/>
        <w:tblCellMar>
          <w:left w:w="0" w:type="dxa"/>
          <w:right w:w="0" w:type="dxa"/>
        </w:tblCellMar>
        <w:tblLook w:val="04A0"/>
      </w:tblPr>
      <w:tblGrid>
        <w:gridCol w:w="2480"/>
        <w:gridCol w:w="771"/>
        <w:gridCol w:w="960"/>
        <w:gridCol w:w="1160"/>
        <w:gridCol w:w="960"/>
        <w:gridCol w:w="960"/>
      </w:tblGrid>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Sector</w:t>
            </w:r>
          </w:p>
        </w:tc>
        <w:tc>
          <w:tcPr>
            <w:tcW w:w="771"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Ticker</w:t>
            </w:r>
          </w:p>
        </w:tc>
        <w:tc>
          <w:tcPr>
            <w:tcW w:w="9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Oct.</w:t>
            </w:r>
          </w:p>
        </w:tc>
        <w:tc>
          <w:tcPr>
            <w:tcW w:w="11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Nov.</w:t>
            </w:r>
          </w:p>
        </w:tc>
        <w:tc>
          <w:tcPr>
            <w:tcW w:w="9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Dec</w:t>
            </w:r>
          </w:p>
        </w:tc>
        <w:tc>
          <w:tcPr>
            <w:tcW w:w="9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YTD</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Healthcare</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XLV</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-6.78%</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8.08%</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-9.35%</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10.73%</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Utilities</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XLU</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1.98%</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3.54%</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-3.99%</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3.97%</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Consumer Discretionary</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XLY</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-10.10%</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2.48%</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-7.95%</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1.59%</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Technology</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XLK</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-8.00%</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-1.96%</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-8.36%</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-1.64%</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Real Estate</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VNQ</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-2.93%</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4.67%</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-7.96%</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-6.03%</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Consumer Staples</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XLP</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2.00%</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2.27%</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-8.91%</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-8.08%</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Financials</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XLF</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-4.70%</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2.63%</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-11.12%</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-13.03%</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Industrials</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XLI</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-10.87%</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3.81%</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-10.65%</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-13.24%</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Materials</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XLB</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-9.18%</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3.80%</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-6.88%</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-14.85%</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Energy</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XLE</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-11.33%</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-1.56%</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-12.43%</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-18.24%</w:t>
            </w:r>
          </w:p>
        </w:tc>
      </w:tr>
    </w:tbl>
    <w:p w:rsidR="009D5FD8" w:rsidRDefault="009D5FD8" w:rsidP="009D5FD8">
      <w:pPr>
        <w:ind w:left="2160"/>
      </w:pPr>
    </w:p>
    <w:p w:rsidR="009D5FD8" w:rsidRDefault="009D5FD8" w:rsidP="009D5FD8">
      <w:pPr>
        <w:ind w:left="2160"/>
      </w:pPr>
    </w:p>
    <w:p w:rsidR="009D5FD8" w:rsidRDefault="009D5FD8" w:rsidP="009D5FD8">
      <w:pPr>
        <w:ind w:left="720"/>
        <w:rPr>
          <w:b/>
          <w:bCs/>
          <w:u w:val="single"/>
        </w:rPr>
      </w:pPr>
      <w:r>
        <w:rPr>
          <w:b/>
          <w:bCs/>
          <w:u w:val="single"/>
        </w:rPr>
        <w:t>Foreign Stocks</w:t>
      </w:r>
    </w:p>
    <w:p w:rsidR="009D5FD8" w:rsidRDefault="009D5FD8" w:rsidP="009D5FD8">
      <w:pPr>
        <w:ind w:left="720"/>
      </w:pPr>
      <w:r>
        <w:t xml:space="preserve">Foreign stocks substantially underperformed US stocks in 2018 due to declining global growth (particularly in China), political dysfunction in Europe (including </w:t>
      </w:r>
      <w:proofErr w:type="spellStart"/>
      <w:r>
        <w:t>Brexit</w:t>
      </w:r>
      <w:proofErr w:type="spellEnd"/>
      <w:r>
        <w:t xml:space="preserve">) and financial weakness in the </w:t>
      </w:r>
      <w:proofErr w:type="gramStart"/>
      <w:r>
        <w:t>EU(</w:t>
      </w:r>
      <w:proofErr w:type="gramEnd"/>
      <w:r>
        <w:t xml:space="preserve">Italian banking and economic crisis).  The strong US dollar also depressed corporate earnings in the emerging markets due to the unfavorable currency translations.   </w:t>
      </w:r>
    </w:p>
    <w:p w:rsidR="009D5FD8" w:rsidRDefault="009D5FD8" w:rsidP="009D5FD8">
      <w:pPr>
        <w:ind w:left="720"/>
      </w:pPr>
    </w:p>
    <w:p w:rsidR="009D5FD8" w:rsidRDefault="009D5FD8" w:rsidP="009D5FD8">
      <w:pPr>
        <w:ind w:left="720"/>
      </w:pPr>
      <w:r>
        <w:t>   </w:t>
      </w:r>
    </w:p>
    <w:tbl>
      <w:tblPr>
        <w:tblW w:w="9871" w:type="dxa"/>
        <w:tblInd w:w="1332" w:type="dxa"/>
        <w:tblCellMar>
          <w:left w:w="0" w:type="dxa"/>
          <w:right w:w="0" w:type="dxa"/>
        </w:tblCellMar>
        <w:tblLook w:val="04A0"/>
      </w:tblPr>
      <w:tblGrid>
        <w:gridCol w:w="2480"/>
        <w:gridCol w:w="2580"/>
        <w:gridCol w:w="771"/>
        <w:gridCol w:w="960"/>
        <w:gridCol w:w="1160"/>
        <w:gridCol w:w="960"/>
        <w:gridCol w:w="960"/>
      </w:tblGrid>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lastRenderedPageBreak/>
              <w:t>Category</w:t>
            </w:r>
          </w:p>
        </w:tc>
        <w:tc>
          <w:tcPr>
            <w:tcW w:w="258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Type</w:t>
            </w:r>
          </w:p>
        </w:tc>
        <w:tc>
          <w:tcPr>
            <w:tcW w:w="771"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Ticker</w:t>
            </w:r>
          </w:p>
        </w:tc>
        <w:tc>
          <w:tcPr>
            <w:tcW w:w="9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Oct.</w:t>
            </w:r>
          </w:p>
        </w:tc>
        <w:tc>
          <w:tcPr>
            <w:tcW w:w="11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Nov.</w:t>
            </w:r>
          </w:p>
        </w:tc>
        <w:tc>
          <w:tcPr>
            <w:tcW w:w="9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Dec</w:t>
            </w:r>
          </w:p>
        </w:tc>
        <w:tc>
          <w:tcPr>
            <w:tcW w:w="9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YTD</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Foreign Stock</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 xml:space="preserve">Developed </w:t>
            </w:r>
            <w:proofErr w:type="spellStart"/>
            <w:r>
              <w:rPr>
                <w:color w:val="000000"/>
              </w:rPr>
              <w:t>Mkts</w:t>
            </w:r>
            <w:proofErr w:type="spellEnd"/>
            <w:r>
              <w:rPr>
                <w:color w:val="000000"/>
              </w:rPr>
              <w:t xml:space="preserve">. </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EFA</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-8.13%</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0.50%</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-5.35%</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-13.81%</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Foreign Stock</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 xml:space="preserve">Emerging </w:t>
            </w:r>
            <w:proofErr w:type="spellStart"/>
            <w:r>
              <w:rPr>
                <w:color w:val="000000"/>
              </w:rPr>
              <w:t>Mkts</w:t>
            </w:r>
            <w:proofErr w:type="spellEnd"/>
            <w:r>
              <w:rPr>
                <w:color w:val="000000"/>
              </w:rPr>
              <w:t xml:space="preserve">. </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EEM</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-8.96%</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4.90%</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-3.50%</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-15.51%</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Foreign Stock</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Total</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VXUS</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-8.56%</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1.68%</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-4.90%</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-14.42%</w:t>
            </w:r>
          </w:p>
        </w:tc>
      </w:tr>
    </w:tbl>
    <w:p w:rsidR="009D5FD8" w:rsidRDefault="009D5FD8" w:rsidP="009D5FD8">
      <w:pPr>
        <w:ind w:left="720"/>
      </w:pPr>
    </w:p>
    <w:p w:rsidR="009D5FD8" w:rsidRDefault="009D5FD8" w:rsidP="009D5FD8">
      <w:pPr>
        <w:ind w:left="720"/>
      </w:pPr>
      <w:r>
        <w:t>The following chart shows the monthly and YTD RORs for the total foreign stock index:</w:t>
      </w:r>
    </w:p>
    <w:p w:rsidR="009D5FD8" w:rsidRDefault="009D5FD8" w:rsidP="009D5FD8">
      <w:pPr>
        <w:ind w:left="720"/>
      </w:pPr>
    </w:p>
    <w:p w:rsidR="009D5FD8" w:rsidRDefault="009D5FD8" w:rsidP="009D5FD8">
      <w:pPr>
        <w:ind w:left="720"/>
      </w:pPr>
    </w:p>
    <w:p w:rsidR="009D5FD8" w:rsidRDefault="009D5FD8" w:rsidP="009D5FD8">
      <w:pPr>
        <w:ind w:left="720"/>
      </w:pPr>
      <w:r>
        <w:rPr>
          <w:noProof/>
        </w:rPr>
        <w:drawing>
          <wp:inline distT="0" distB="0" distL="0" distR="0">
            <wp:extent cx="4596130" cy="2751455"/>
            <wp:effectExtent l="19050" t="0" r="0" b="0"/>
            <wp:docPr id="2" name="Chart 4" descr="cid:image004.png@01D4A437.B520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4" descr="cid:image004.png@01D4A437.B5203390"/>
                    <pic:cNvPicPr>
                      <a:picLocks noChangeAspect="1" noChangeArrowheads="1"/>
                    </pic:cNvPicPr>
                  </pic:nvPicPr>
                  <pic:blipFill>
                    <a:blip r:embed="rId6" r:link="rId7" cstate="print"/>
                    <a:srcRect/>
                    <a:stretch>
                      <a:fillRect/>
                    </a:stretch>
                  </pic:blipFill>
                  <pic:spPr bwMode="auto">
                    <a:xfrm>
                      <a:off x="0" y="0"/>
                      <a:ext cx="4596130" cy="2751455"/>
                    </a:xfrm>
                    <a:prstGeom prst="rect">
                      <a:avLst/>
                    </a:prstGeom>
                    <a:noFill/>
                    <a:ln w="9525">
                      <a:noFill/>
                      <a:miter lim="800000"/>
                      <a:headEnd/>
                      <a:tailEnd/>
                    </a:ln>
                  </pic:spPr>
                </pic:pic>
              </a:graphicData>
            </a:graphic>
          </wp:inline>
        </w:drawing>
      </w:r>
    </w:p>
    <w:p w:rsidR="009D5FD8" w:rsidRDefault="009D5FD8" w:rsidP="009D5FD8">
      <w:pPr>
        <w:ind w:left="720"/>
        <w:rPr>
          <w:b/>
          <w:bCs/>
        </w:rPr>
      </w:pPr>
    </w:p>
    <w:p w:rsidR="009D5FD8" w:rsidRDefault="009D5FD8" w:rsidP="009D5FD8">
      <w:pPr>
        <w:ind w:left="720"/>
        <w:rPr>
          <w:b/>
          <w:bCs/>
        </w:rPr>
      </w:pPr>
    </w:p>
    <w:p w:rsidR="009D5FD8" w:rsidRDefault="009D5FD8" w:rsidP="009D5FD8">
      <w:pPr>
        <w:ind w:left="720"/>
        <w:rPr>
          <w:b/>
          <w:bCs/>
        </w:rPr>
      </w:pPr>
    </w:p>
    <w:p w:rsidR="009D5FD8" w:rsidRDefault="009D5FD8" w:rsidP="009D5FD8">
      <w:pPr>
        <w:ind w:left="720"/>
      </w:pPr>
      <w:proofErr w:type="gramStart"/>
      <w:r>
        <w:t>Ugly.</w:t>
      </w:r>
      <w:proofErr w:type="gramEnd"/>
    </w:p>
    <w:p w:rsidR="009D5FD8" w:rsidRDefault="009D5FD8" w:rsidP="009D5FD8">
      <w:pPr>
        <w:ind w:left="720"/>
        <w:rPr>
          <w:b/>
          <w:bCs/>
          <w:u w:val="single"/>
        </w:rPr>
      </w:pPr>
    </w:p>
    <w:p w:rsidR="009D5FD8" w:rsidRDefault="009D5FD8" w:rsidP="009D5FD8">
      <w:pPr>
        <w:ind w:left="720"/>
        <w:rPr>
          <w:b/>
          <w:bCs/>
          <w:u w:val="single"/>
        </w:rPr>
      </w:pPr>
      <w:r>
        <w:rPr>
          <w:b/>
          <w:bCs/>
          <w:u w:val="single"/>
        </w:rPr>
        <w:t xml:space="preserve">Precious Metals </w:t>
      </w:r>
    </w:p>
    <w:p w:rsidR="009D5FD8" w:rsidRDefault="009D5FD8" w:rsidP="009D5FD8">
      <w:pPr>
        <w:ind w:left="720"/>
      </w:pPr>
      <w:r>
        <w:t>Gold and silver had a strong December as investors sought safe haven from the stock declines.  However, they both ended the year in negative territory:</w:t>
      </w:r>
    </w:p>
    <w:p w:rsidR="009D5FD8" w:rsidRDefault="009D5FD8" w:rsidP="009D5FD8">
      <w:pPr>
        <w:ind w:left="720"/>
        <w:rPr>
          <w:b/>
          <w:bCs/>
          <w:u w:val="single"/>
        </w:rPr>
      </w:pPr>
    </w:p>
    <w:tbl>
      <w:tblPr>
        <w:tblW w:w="9871" w:type="dxa"/>
        <w:tblInd w:w="1332" w:type="dxa"/>
        <w:tblCellMar>
          <w:left w:w="0" w:type="dxa"/>
          <w:right w:w="0" w:type="dxa"/>
        </w:tblCellMar>
        <w:tblLook w:val="04A0"/>
      </w:tblPr>
      <w:tblGrid>
        <w:gridCol w:w="2480"/>
        <w:gridCol w:w="2580"/>
        <w:gridCol w:w="771"/>
        <w:gridCol w:w="960"/>
        <w:gridCol w:w="1160"/>
        <w:gridCol w:w="960"/>
        <w:gridCol w:w="960"/>
      </w:tblGrid>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Category</w:t>
            </w:r>
          </w:p>
        </w:tc>
        <w:tc>
          <w:tcPr>
            <w:tcW w:w="258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Type</w:t>
            </w:r>
          </w:p>
        </w:tc>
        <w:tc>
          <w:tcPr>
            <w:tcW w:w="771"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Ticker</w:t>
            </w:r>
          </w:p>
        </w:tc>
        <w:tc>
          <w:tcPr>
            <w:tcW w:w="9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Oct.</w:t>
            </w:r>
          </w:p>
        </w:tc>
        <w:tc>
          <w:tcPr>
            <w:tcW w:w="11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Nov.</w:t>
            </w:r>
          </w:p>
        </w:tc>
        <w:tc>
          <w:tcPr>
            <w:tcW w:w="9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Dec</w:t>
            </w:r>
          </w:p>
        </w:tc>
        <w:tc>
          <w:tcPr>
            <w:tcW w:w="9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YTD</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Precious Metals</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Gold</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GLD</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2.12%</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0.34%</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4.94%</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-1.97%</w:t>
            </w:r>
          </w:p>
        </w:tc>
      </w:tr>
      <w:tr w:rsidR="009D5FD8" w:rsidT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Precious Metals</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Silver</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SLV</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-2.33%</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-0.67%</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9.01%</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-9.17%</w:t>
            </w:r>
          </w:p>
        </w:tc>
      </w:tr>
    </w:tbl>
    <w:p w:rsidR="009D5FD8" w:rsidRDefault="009D5FD8" w:rsidP="009D5FD8">
      <w:pPr>
        <w:ind w:left="2067"/>
        <w:rPr>
          <w:b/>
          <w:bCs/>
          <w:u w:val="single"/>
        </w:rPr>
      </w:pPr>
    </w:p>
    <w:p w:rsidR="009D5FD8" w:rsidRDefault="009D5FD8" w:rsidP="009D5FD8">
      <w:pPr>
        <w:ind w:left="720"/>
        <w:rPr>
          <w:b/>
          <w:bCs/>
          <w:u w:val="single"/>
        </w:rPr>
      </w:pPr>
    </w:p>
    <w:p w:rsidR="009D5FD8" w:rsidRDefault="009D5FD8" w:rsidP="009D5FD8">
      <w:pPr>
        <w:ind w:left="720"/>
        <w:rPr>
          <w:b/>
          <w:bCs/>
          <w:u w:val="single"/>
        </w:rPr>
      </w:pPr>
      <w:r>
        <w:rPr>
          <w:b/>
          <w:bCs/>
          <w:u w:val="single"/>
        </w:rPr>
        <w:t>Bonds</w:t>
      </w:r>
    </w:p>
    <w:p w:rsidR="009D5FD8" w:rsidRDefault="009D5FD8" w:rsidP="009D5FD8">
      <w:pPr>
        <w:ind w:left="720"/>
      </w:pPr>
      <w:r>
        <w:t>In general, bonds had a very good December (except for High Yield) as investors sought safety from declining stock prices.  </w:t>
      </w:r>
      <w:proofErr w:type="gramStart"/>
      <w:r>
        <w:t>US</w:t>
      </w:r>
      <w:proofErr w:type="gramEnd"/>
      <w:r>
        <w:t xml:space="preserve"> Treasury and Municipal bonds had a relatively good year but Corporate bonds (including “High Yield”) declined in value. This is indicative of the flight to safety (i.e. government bonds) that began mid-year.   The most widely watched and invested in index (AGG) finished with a -1.25 Total Return, so bonds, in general, did not help to offset losses in the stock portion of portfolios.</w:t>
      </w:r>
    </w:p>
    <w:p w:rsidR="009D5FD8" w:rsidRDefault="009D5FD8" w:rsidP="009D5FD8">
      <w:pPr>
        <w:ind w:left="720"/>
      </w:pPr>
    </w:p>
    <w:tbl>
      <w:tblPr>
        <w:tblW w:w="10120" w:type="dxa"/>
        <w:tblInd w:w="-15" w:type="dxa"/>
        <w:tblCellMar>
          <w:left w:w="0" w:type="dxa"/>
          <w:right w:w="0" w:type="dxa"/>
        </w:tblCellMar>
        <w:tblLook w:val="04A0"/>
      </w:tblPr>
      <w:tblGrid>
        <w:gridCol w:w="11419"/>
        <w:gridCol w:w="2660"/>
        <w:gridCol w:w="800"/>
        <w:gridCol w:w="980"/>
        <w:gridCol w:w="980"/>
        <w:gridCol w:w="1180"/>
        <w:gridCol w:w="980"/>
      </w:tblGrid>
      <w:tr w:rsidR="009D5FD8" w:rsidTr="009D5FD8">
        <w:trPr>
          <w:trHeight w:val="288"/>
        </w:trPr>
        <w:tc>
          <w:tcPr>
            <w:tcW w:w="2540" w:type="dxa"/>
            <w:noWrap/>
            <w:tcMar>
              <w:top w:w="0" w:type="dxa"/>
              <w:left w:w="108" w:type="dxa"/>
              <w:bottom w:w="0" w:type="dxa"/>
              <w:right w:w="108" w:type="dxa"/>
            </w:tcMar>
            <w:vAlign w:val="center"/>
          </w:tcPr>
          <w:p w:rsidR="009D5FD8" w:rsidRDefault="009D5FD8">
            <w:pPr>
              <w:rPr>
                <w:color w:val="000000"/>
              </w:rPr>
            </w:pPr>
          </w:p>
          <w:tbl>
            <w:tblPr>
              <w:tblW w:w="9871" w:type="dxa"/>
              <w:tblInd w:w="1332" w:type="dxa"/>
              <w:tblCellMar>
                <w:left w:w="0" w:type="dxa"/>
                <w:right w:w="0" w:type="dxa"/>
              </w:tblCellMar>
              <w:tblLook w:val="04A0"/>
            </w:tblPr>
            <w:tblGrid>
              <w:gridCol w:w="2480"/>
              <w:gridCol w:w="2580"/>
              <w:gridCol w:w="771"/>
              <w:gridCol w:w="960"/>
              <w:gridCol w:w="1160"/>
              <w:gridCol w:w="960"/>
              <w:gridCol w:w="960"/>
            </w:tblGrid>
            <w:tr w:rsidR="009D5FD8">
              <w:trPr>
                <w:trHeight w:val="300"/>
              </w:trPr>
              <w:tc>
                <w:tcPr>
                  <w:tcW w:w="248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lastRenderedPageBreak/>
                    <w:t>Type</w:t>
                  </w:r>
                </w:p>
              </w:tc>
              <w:tc>
                <w:tcPr>
                  <w:tcW w:w="258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Maturity</w:t>
                  </w:r>
                </w:p>
              </w:tc>
              <w:tc>
                <w:tcPr>
                  <w:tcW w:w="771"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Ticker</w:t>
                  </w:r>
                </w:p>
              </w:tc>
              <w:tc>
                <w:tcPr>
                  <w:tcW w:w="9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Oct.</w:t>
                  </w:r>
                </w:p>
              </w:tc>
              <w:tc>
                <w:tcPr>
                  <w:tcW w:w="11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Nov.</w:t>
                  </w:r>
                </w:p>
              </w:tc>
              <w:tc>
                <w:tcPr>
                  <w:tcW w:w="9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Dec</w:t>
                  </w:r>
                </w:p>
              </w:tc>
              <w:tc>
                <w:tcPr>
                  <w:tcW w:w="960" w:type="dxa"/>
                  <w:noWrap/>
                  <w:tcMar>
                    <w:top w:w="0" w:type="dxa"/>
                    <w:left w:w="108" w:type="dxa"/>
                    <w:bottom w:w="0" w:type="dxa"/>
                    <w:right w:w="108" w:type="dxa"/>
                  </w:tcMar>
                  <w:vAlign w:val="center"/>
                  <w:hideMark/>
                </w:tcPr>
                <w:p w:rsidR="009D5FD8" w:rsidRDefault="009D5FD8">
                  <w:pPr>
                    <w:jc w:val="center"/>
                    <w:rPr>
                      <w:b/>
                      <w:bCs/>
                      <w:color w:val="000000"/>
                      <w:u w:val="single"/>
                    </w:rPr>
                  </w:pPr>
                  <w:r>
                    <w:rPr>
                      <w:b/>
                      <w:bCs/>
                      <w:color w:val="000000"/>
                      <w:u w:val="single"/>
                    </w:rPr>
                    <w:t>YTD</w:t>
                  </w:r>
                </w:p>
              </w:tc>
            </w:tr>
            <w:tr w:rsid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U S Treasury</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Short</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SHY</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0.15%</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0.38%</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0.76%</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1.46%</w:t>
                  </w:r>
                </w:p>
              </w:tc>
            </w:tr>
            <w:tr w:rsid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U S Treasury</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Medium</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IEI</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0.07%</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0.82%</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1.78%</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1.36%</w:t>
                  </w:r>
                </w:p>
              </w:tc>
            </w:tr>
            <w:tr w:rsid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U S Treasury</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Long</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TLT</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-2.93%</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1.79%</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5.85%</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-1.60%</w:t>
                  </w:r>
                </w:p>
              </w:tc>
            </w:tr>
            <w:tr w:rsidR="009D5FD8">
              <w:trPr>
                <w:trHeight w:val="300"/>
              </w:trPr>
              <w:tc>
                <w:tcPr>
                  <w:tcW w:w="248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258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771"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11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r>
            <w:tr w:rsid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Inflation Protected</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Short</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STIP</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-0.48%</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0.02%</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0.13%</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0.56%</w:t>
                  </w:r>
                </w:p>
              </w:tc>
            </w:tr>
            <w:tr w:rsid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Inflation Protected</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Medium</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TIP</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-1.52%</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0.48%</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0.53%</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-1.41%</w:t>
                  </w:r>
                </w:p>
              </w:tc>
            </w:tr>
            <w:tr w:rsidR="009D5FD8">
              <w:trPr>
                <w:trHeight w:val="300"/>
              </w:trPr>
              <w:tc>
                <w:tcPr>
                  <w:tcW w:w="248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258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771"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11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r>
            <w:tr w:rsid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Corporate Bonds</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Short</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VCSH</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-0.07%</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-0.08%</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0.83%</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0.93%</w:t>
                  </w:r>
                </w:p>
              </w:tc>
            </w:tr>
            <w:tr w:rsid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Corporate Bonds</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Medium</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VCIT</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-0.88%</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-0.21%</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1.56%</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-1.73%</w:t>
                  </w:r>
                </w:p>
              </w:tc>
            </w:tr>
            <w:tr w:rsid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Corporate Bonds</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Long</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VCLT</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-3.58%</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-0.82%</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2.83%</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-7.03%</w:t>
                  </w:r>
                </w:p>
              </w:tc>
            </w:tr>
            <w:tr w:rsidR="009D5FD8">
              <w:trPr>
                <w:trHeight w:val="300"/>
              </w:trPr>
              <w:tc>
                <w:tcPr>
                  <w:tcW w:w="248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258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771"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11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r>
            <w:tr w:rsid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Municipal Bonds</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Short</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SUB</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-0.13%</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0.56%</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0.76%</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1.85%</w:t>
                  </w:r>
                </w:p>
              </w:tc>
            </w:tr>
            <w:tr w:rsid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Municipal Bonds</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Medium</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MUB</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-0.56%</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1.11%</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1.35%</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0.94%</w:t>
                  </w:r>
                </w:p>
              </w:tc>
            </w:tr>
            <w:tr w:rsidR="009D5FD8">
              <w:trPr>
                <w:trHeight w:val="300"/>
              </w:trPr>
              <w:tc>
                <w:tcPr>
                  <w:tcW w:w="248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258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771"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11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r>
            <w:tr w:rsid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High Yield Bonds</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Medium</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HYG</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-1.98%</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-0.40%</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-2.09%</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-2.02%</w:t>
                  </w:r>
                </w:p>
              </w:tc>
            </w:tr>
            <w:tr w:rsidR="009D5FD8">
              <w:trPr>
                <w:trHeight w:val="300"/>
              </w:trPr>
              <w:tc>
                <w:tcPr>
                  <w:tcW w:w="248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258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771"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11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r>
            <w:tr w:rsidR="009D5FD8">
              <w:trPr>
                <w:trHeight w:val="300"/>
              </w:trPr>
              <w:tc>
                <w:tcPr>
                  <w:tcW w:w="2480" w:type="dxa"/>
                  <w:noWrap/>
                  <w:tcMar>
                    <w:top w:w="0" w:type="dxa"/>
                    <w:left w:w="108" w:type="dxa"/>
                    <w:bottom w:w="0" w:type="dxa"/>
                    <w:right w:w="108" w:type="dxa"/>
                  </w:tcMar>
                  <w:vAlign w:val="center"/>
                  <w:hideMark/>
                </w:tcPr>
                <w:p w:rsidR="009D5FD8" w:rsidRDefault="009D5FD8">
                  <w:pPr>
                    <w:jc w:val="center"/>
                    <w:rPr>
                      <w:color w:val="000000"/>
                    </w:rPr>
                  </w:pPr>
                  <w:r>
                    <w:rPr>
                      <w:color w:val="000000"/>
                    </w:rPr>
                    <w:t>Total US Bond Index</w:t>
                  </w:r>
                </w:p>
              </w:tc>
              <w:tc>
                <w:tcPr>
                  <w:tcW w:w="2580" w:type="dxa"/>
                  <w:noWrap/>
                  <w:tcMar>
                    <w:top w:w="0" w:type="dxa"/>
                    <w:left w:w="108" w:type="dxa"/>
                    <w:bottom w:w="0" w:type="dxa"/>
                    <w:right w:w="108" w:type="dxa"/>
                  </w:tcMar>
                  <w:vAlign w:val="center"/>
                  <w:hideMark/>
                </w:tcPr>
                <w:p w:rsidR="009D5FD8" w:rsidRDefault="009D5FD8">
                  <w:pPr>
                    <w:jc w:val="center"/>
                    <w:rPr>
                      <w:color w:val="000000"/>
                    </w:rPr>
                  </w:pPr>
                  <w:r>
                    <w:rPr>
                      <w:color w:val="000000"/>
                    </w:rPr>
                    <w:t>Medium</w:t>
                  </w:r>
                </w:p>
              </w:tc>
              <w:tc>
                <w:tcPr>
                  <w:tcW w:w="771" w:type="dxa"/>
                  <w:noWrap/>
                  <w:tcMar>
                    <w:top w:w="0" w:type="dxa"/>
                    <w:left w:w="108" w:type="dxa"/>
                    <w:bottom w:w="0" w:type="dxa"/>
                    <w:right w:w="108" w:type="dxa"/>
                  </w:tcMar>
                  <w:vAlign w:val="center"/>
                  <w:hideMark/>
                </w:tcPr>
                <w:p w:rsidR="009D5FD8" w:rsidRDefault="009D5FD8">
                  <w:pPr>
                    <w:jc w:val="center"/>
                    <w:rPr>
                      <w:color w:val="000000"/>
                    </w:rPr>
                  </w:pPr>
                  <w:r>
                    <w:rPr>
                      <w:color w:val="000000"/>
                    </w:rPr>
                    <w:t>AGG</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-0.64%</w:t>
                  </w:r>
                </w:p>
              </w:tc>
              <w:tc>
                <w:tcPr>
                  <w:tcW w:w="1160" w:type="dxa"/>
                  <w:noWrap/>
                  <w:tcMar>
                    <w:top w:w="0" w:type="dxa"/>
                    <w:left w:w="108" w:type="dxa"/>
                    <w:bottom w:w="0" w:type="dxa"/>
                    <w:right w:w="108" w:type="dxa"/>
                  </w:tcMar>
                  <w:vAlign w:val="center"/>
                  <w:hideMark/>
                </w:tcPr>
                <w:p w:rsidR="009D5FD8" w:rsidRDefault="009D5FD8">
                  <w:pPr>
                    <w:jc w:val="center"/>
                    <w:rPr>
                      <w:color w:val="000000"/>
                    </w:rPr>
                  </w:pPr>
                  <w:r>
                    <w:rPr>
                      <w:color w:val="000000"/>
                    </w:rPr>
                    <w:t>0.52%</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1.98%</w:t>
                  </w:r>
                </w:p>
              </w:tc>
              <w:tc>
                <w:tcPr>
                  <w:tcW w:w="960" w:type="dxa"/>
                  <w:noWrap/>
                  <w:tcMar>
                    <w:top w:w="0" w:type="dxa"/>
                    <w:left w:w="108" w:type="dxa"/>
                    <w:bottom w:w="0" w:type="dxa"/>
                    <w:right w:w="108" w:type="dxa"/>
                  </w:tcMar>
                  <w:vAlign w:val="center"/>
                  <w:hideMark/>
                </w:tcPr>
                <w:p w:rsidR="009D5FD8" w:rsidRDefault="009D5FD8">
                  <w:pPr>
                    <w:jc w:val="center"/>
                    <w:rPr>
                      <w:color w:val="000000"/>
                    </w:rPr>
                  </w:pPr>
                  <w:r>
                    <w:rPr>
                      <w:color w:val="000000"/>
                    </w:rPr>
                    <w:t>-1.25%</w:t>
                  </w:r>
                </w:p>
              </w:tc>
            </w:tr>
          </w:tbl>
          <w:p w:rsidR="009D5FD8" w:rsidRDefault="009D5FD8">
            <w:pPr>
              <w:rPr>
                <w:color w:val="000000"/>
              </w:rPr>
            </w:pPr>
          </w:p>
          <w:p w:rsidR="009D5FD8" w:rsidRDefault="009D5FD8">
            <w:pPr>
              <w:rPr>
                <w:color w:val="000000"/>
              </w:rPr>
            </w:pPr>
          </w:p>
          <w:p w:rsidR="009D5FD8" w:rsidRDefault="009D5FD8">
            <w:pPr>
              <w:rPr>
                <w:color w:val="000000"/>
              </w:rPr>
            </w:pPr>
            <w:r>
              <w:rPr>
                <w:color w:val="000000"/>
              </w:rPr>
              <w:t>Following is a chart of the monthly and YTD RORs for the total US bond market index (AGG):</w:t>
            </w:r>
          </w:p>
          <w:p w:rsidR="009D5FD8" w:rsidRDefault="009D5FD8">
            <w:pPr>
              <w:rPr>
                <w:color w:val="000000"/>
              </w:rPr>
            </w:pPr>
          </w:p>
          <w:p w:rsidR="009D5FD8" w:rsidRDefault="009D5FD8">
            <w:pPr>
              <w:rPr>
                <w:color w:val="000000"/>
              </w:rPr>
            </w:pPr>
            <w:r>
              <w:rPr>
                <w:noProof/>
                <w:color w:val="000000"/>
              </w:rPr>
              <w:drawing>
                <wp:inline distT="0" distB="0" distL="0" distR="0">
                  <wp:extent cx="4596130" cy="2743200"/>
                  <wp:effectExtent l="19050" t="0" r="0" b="0"/>
                  <wp:docPr id="3" name="Chart 6" descr="cid:image009.png@01D4A437.B5203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6" descr="cid:image009.png@01D4A437.B5203390"/>
                          <pic:cNvPicPr>
                            <a:picLocks noChangeAspect="1" noChangeArrowheads="1"/>
                          </pic:cNvPicPr>
                        </pic:nvPicPr>
                        <pic:blipFill>
                          <a:blip r:embed="rId8" r:link="rId9" cstate="print"/>
                          <a:srcRect/>
                          <a:stretch>
                            <a:fillRect/>
                          </a:stretch>
                        </pic:blipFill>
                        <pic:spPr bwMode="auto">
                          <a:xfrm>
                            <a:off x="0" y="0"/>
                            <a:ext cx="4596130" cy="2743200"/>
                          </a:xfrm>
                          <a:prstGeom prst="rect">
                            <a:avLst/>
                          </a:prstGeom>
                          <a:noFill/>
                          <a:ln w="9525">
                            <a:noFill/>
                            <a:miter lim="800000"/>
                            <a:headEnd/>
                            <a:tailEnd/>
                          </a:ln>
                        </pic:spPr>
                      </pic:pic>
                    </a:graphicData>
                  </a:graphic>
                </wp:inline>
              </w:drawing>
            </w:r>
          </w:p>
          <w:p w:rsidR="009D5FD8" w:rsidRDefault="009D5FD8">
            <w:pPr>
              <w:rPr>
                <w:color w:val="000000"/>
              </w:rPr>
            </w:pPr>
          </w:p>
          <w:p w:rsidR="009D5FD8" w:rsidRDefault="009D5FD8">
            <w:pPr>
              <w:rPr>
                <w:color w:val="000000"/>
              </w:rPr>
            </w:pPr>
          </w:p>
          <w:p w:rsidR="009D5FD8" w:rsidRDefault="009D5FD8">
            <w:pPr>
              <w:rPr>
                <w:color w:val="000000"/>
              </w:rPr>
            </w:pPr>
          </w:p>
        </w:tc>
        <w:tc>
          <w:tcPr>
            <w:tcW w:w="266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80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8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8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118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c>
          <w:tcPr>
            <w:tcW w:w="980" w:type="dxa"/>
            <w:noWrap/>
            <w:tcMar>
              <w:top w:w="0" w:type="dxa"/>
              <w:left w:w="108" w:type="dxa"/>
              <w:bottom w:w="0" w:type="dxa"/>
              <w:right w:w="108" w:type="dxa"/>
            </w:tcMar>
            <w:vAlign w:val="center"/>
            <w:hideMark/>
          </w:tcPr>
          <w:p w:rsidR="009D5FD8" w:rsidRDefault="009D5FD8">
            <w:pPr>
              <w:rPr>
                <w:rFonts w:asciiTheme="minorHAnsi" w:eastAsiaTheme="minorEastAsia" w:hAnsiTheme="minorHAnsi" w:cstheme="minorBidi"/>
              </w:rPr>
            </w:pPr>
          </w:p>
        </w:tc>
      </w:tr>
    </w:tbl>
    <w:p w:rsidR="009D5FD8" w:rsidRDefault="009D5FD8" w:rsidP="009D5FD8">
      <w:pPr>
        <w:ind w:left="1440"/>
        <w:rPr>
          <w:b/>
          <w:bCs/>
          <w:u w:val="single"/>
        </w:rPr>
      </w:pPr>
    </w:p>
    <w:p w:rsidR="009D5FD8" w:rsidRDefault="009D5FD8" w:rsidP="009D5FD8">
      <w:pPr>
        <w:rPr>
          <w:b/>
          <w:bCs/>
          <w:u w:val="single"/>
        </w:rPr>
      </w:pPr>
      <w:r>
        <w:rPr>
          <w:b/>
          <w:bCs/>
          <w:u w:val="single"/>
        </w:rPr>
        <w:t>Looking Ahead</w:t>
      </w:r>
    </w:p>
    <w:p w:rsidR="009D5FD8" w:rsidRDefault="009D5FD8" w:rsidP="009D5FD8">
      <w:r>
        <w:t xml:space="preserve">Despite the Q4 carnage, there are several bright spots for stock investors for 2019.  The forecast for US economic growth and corporate profits is relatively strong for 2019 and inflation is modest.  The Fed is </w:t>
      </w:r>
      <w:r>
        <w:lastRenderedPageBreak/>
        <w:t xml:space="preserve">beginning to lower their expectations for future interest rate hikes and will hopefully dial back the bond-selling program.  Tariff negotiations with China are an on-going concern but neither country wants to die on that hill.   2019 </w:t>
      </w:r>
      <w:r>
        <w:rPr>
          <w:u w:val="single"/>
        </w:rPr>
        <w:t>can</w:t>
      </w:r>
      <w:r>
        <w:t xml:space="preserve"> be a positive year for US stock prices if the rest of the world holds up and the Fed/Government doesn’t do anything stupid.  However, investors need to be aware of the risks and make sure their portfolios are structured accordingly.</w:t>
      </w:r>
    </w:p>
    <w:p w:rsidR="009D5FD8" w:rsidRDefault="009D5FD8" w:rsidP="009D5FD8"/>
    <w:p w:rsidR="009D5FD8" w:rsidRDefault="009D5FD8" w:rsidP="009D5FD8">
      <w:pPr>
        <w:rPr>
          <w:b/>
          <w:bCs/>
        </w:rPr>
      </w:pPr>
      <w:r>
        <w:rPr>
          <w:b/>
          <w:bCs/>
          <w:u w:val="single"/>
        </w:rPr>
        <w:t>Quote of the Month</w:t>
      </w:r>
      <w:r>
        <w:rPr>
          <w:b/>
          <w:bCs/>
        </w:rPr>
        <w:t xml:space="preserve">:  </w:t>
      </w:r>
    </w:p>
    <w:p w:rsidR="009D5FD8" w:rsidRDefault="009D5FD8" w:rsidP="009D5FD8"/>
    <w:p w:rsidR="009D5FD8" w:rsidRDefault="009D5FD8" w:rsidP="009D5FD8">
      <w:pPr>
        <w:ind w:left="720"/>
        <w:rPr>
          <w:rFonts w:ascii="Arial" w:hAnsi="Arial" w:cs="Arial"/>
        </w:rPr>
      </w:pPr>
      <w:r>
        <w:rPr>
          <w:rFonts w:ascii="Arial" w:hAnsi="Arial" w:cs="Arial"/>
        </w:rPr>
        <w:t>Pain is a part of life, suffering is optional.</w:t>
      </w:r>
    </w:p>
    <w:p w:rsidR="009D5FD8" w:rsidRDefault="009D5FD8" w:rsidP="009D5FD8"/>
    <w:p w:rsidR="009D5FD8" w:rsidRDefault="009D5FD8" w:rsidP="009D5FD8">
      <w:proofErr w:type="gramStart"/>
      <w:r>
        <w:t>terry</w:t>
      </w:r>
      <w:proofErr w:type="gramEnd"/>
      <w:r>
        <w:t xml:space="preserve">  </w:t>
      </w:r>
    </w:p>
    <w:p w:rsidR="009D5FD8" w:rsidRDefault="009D5FD8" w:rsidP="009D5FD8"/>
    <w:p w:rsidR="009D5FD8" w:rsidRDefault="009D5FD8" w:rsidP="009D5FD8"/>
    <w:p w:rsidR="009D5FD8" w:rsidRDefault="009D5FD8" w:rsidP="009D5FD8"/>
    <w:p w:rsidR="009D5FD8" w:rsidRDefault="009D5FD8" w:rsidP="009D5FD8">
      <w:pPr>
        <w:rPr>
          <w:b/>
          <w:bCs/>
        </w:rPr>
      </w:pPr>
      <w:r>
        <w:rPr>
          <w:b/>
          <w:bCs/>
        </w:rPr>
        <w:t xml:space="preserve">Terry L. Seaton CPA, PFS, CFP(tm) </w:t>
      </w:r>
    </w:p>
    <w:p w:rsidR="009D5FD8" w:rsidRDefault="009D5FD8" w:rsidP="009D5FD8">
      <w:pPr>
        <w:rPr>
          <w:b/>
          <w:bCs/>
        </w:rPr>
      </w:pPr>
      <w:r>
        <w:rPr>
          <w:b/>
          <w:bCs/>
        </w:rPr>
        <w:t>Wealth Management</w:t>
      </w:r>
    </w:p>
    <w:p w:rsidR="009D5FD8" w:rsidRDefault="009D5FD8" w:rsidP="009D5FD8">
      <w:pPr>
        <w:rPr>
          <w:b/>
          <w:bCs/>
        </w:rPr>
      </w:pPr>
      <w:r>
        <w:rPr>
          <w:b/>
          <w:bCs/>
        </w:rPr>
        <w:t>Independent, Fee-Only, Fiduciary</w:t>
      </w:r>
    </w:p>
    <w:p w:rsidR="009D5FD8" w:rsidRDefault="009D5FD8" w:rsidP="009D5FD8">
      <w:pPr>
        <w:rPr>
          <w:b/>
          <w:bCs/>
        </w:rPr>
      </w:pPr>
      <w:hyperlink r:id="rId10" w:history="1">
        <w:r>
          <w:rPr>
            <w:rStyle w:val="Hyperlink"/>
            <w:b/>
            <w:bCs/>
          </w:rPr>
          <w:t>www.seatonfinancial.com</w:t>
        </w:r>
      </w:hyperlink>
    </w:p>
    <w:p w:rsidR="009D5FD8" w:rsidRDefault="009D5FD8" w:rsidP="009D5FD8">
      <w:pPr>
        <w:rPr>
          <w:b/>
          <w:bCs/>
        </w:rPr>
      </w:pPr>
      <w:r>
        <w:rPr>
          <w:b/>
          <w:bCs/>
        </w:rPr>
        <w:t>4406 Coastal Hwy, St Augustine, Florida 32084</w:t>
      </w:r>
    </w:p>
    <w:p w:rsidR="009D5FD8" w:rsidRDefault="009D5FD8" w:rsidP="009D5FD8">
      <w:pPr>
        <w:rPr>
          <w:b/>
          <w:bCs/>
        </w:rPr>
      </w:pPr>
      <w:r>
        <w:rPr>
          <w:b/>
          <w:bCs/>
        </w:rPr>
        <w:t>Tel: 904-825-4203, Fax:  904-825-2663</w:t>
      </w:r>
    </w:p>
    <w:p w:rsidR="009D5FD8" w:rsidRDefault="009D5FD8" w:rsidP="009D5FD8"/>
    <w:sectPr w:rsidR="009D5FD8" w:rsidSect="008C32D0">
      <w:pgSz w:w="12240" w:h="15840" w:code="1"/>
      <w:pgMar w:top="1467" w:right="1440" w:bottom="1440" w:left="1440" w:header="648"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20"/>
  <w:drawingGridVerticalSpacing w:val="163"/>
  <w:displayHorizontalDrawingGridEvery w:val="2"/>
  <w:displayVerticalDrawingGridEvery w:val="2"/>
  <w:characterSpacingControl w:val="doNotCompress"/>
  <w:compat/>
  <w:rsids>
    <w:rsidRoot w:val="009D5FD8"/>
    <w:rsid w:val="00027C87"/>
    <w:rsid w:val="002E4F4A"/>
    <w:rsid w:val="00505A0F"/>
    <w:rsid w:val="00820076"/>
    <w:rsid w:val="008C32D0"/>
    <w:rsid w:val="009D5FD8"/>
    <w:rsid w:val="00B821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FD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5FD8"/>
    <w:rPr>
      <w:color w:val="0000FF"/>
      <w:u w:val="single"/>
    </w:rPr>
  </w:style>
</w:styles>
</file>

<file path=word/webSettings.xml><?xml version="1.0" encoding="utf-8"?>
<w:webSettings xmlns:r="http://schemas.openxmlformats.org/officeDocument/2006/relationships" xmlns:w="http://schemas.openxmlformats.org/wordprocessingml/2006/main">
  <w:divs>
    <w:div w:id="15237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cid:image004.png@01D4A437.B52033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cid:image003.png@01D4A437.B5203390" TargetMode="External"/><Relationship Id="rId10" Type="http://schemas.openxmlformats.org/officeDocument/2006/relationships/hyperlink" Target="http://www.seatonfinancial.com" TargetMode="External"/><Relationship Id="rId4" Type="http://schemas.openxmlformats.org/officeDocument/2006/relationships/image" Target="media/image1.png"/><Relationship Id="rId9" Type="http://schemas.openxmlformats.org/officeDocument/2006/relationships/image" Target="cid:image009.png@01D4A437.B52033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914</Words>
  <Characters>5216</Characters>
  <Application>Microsoft Office Word</Application>
  <DocSecurity>0</DocSecurity>
  <Lines>43</Lines>
  <Paragraphs>12</Paragraphs>
  <ScaleCrop>false</ScaleCrop>
  <Company/>
  <LinksUpToDate>false</LinksUpToDate>
  <CharactersWithSpaces>6118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2019-03-27T21:22:00Z</dcterms:created>
  <dcterms:modified xsi:type="dcterms:W3CDTF">2019-03-27T21:24:00Z</dcterms:modified>
</cp:coreProperties>
</file>